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46CEE" w14:textId="2AC832D7" w:rsidR="00823C5D" w:rsidRDefault="00823C5D" w:rsidP="00F204A9">
      <w:pPr>
        <w:pBdr>
          <w:top w:val="single" w:sz="4" w:space="1" w:color="auto"/>
          <w:left w:val="single" w:sz="4" w:space="4" w:color="auto"/>
          <w:bottom w:val="single" w:sz="4" w:space="1" w:color="auto"/>
          <w:right w:val="single" w:sz="4" w:space="4" w:color="auto"/>
        </w:pBdr>
        <w:ind w:left="426" w:hanging="426"/>
        <w:jc w:val="both"/>
      </w:pPr>
      <w:r>
        <w:rPr>
          <w:rFonts w:ascii="Times New Roman" w:eastAsia="Times New Roman" w:hAnsi="Times New Roman" w:cs="Times New Roman"/>
          <w:color w:val="00000A"/>
          <w:kern w:val="1"/>
          <w:sz w:val="24"/>
          <w:szCs w:val="24"/>
          <w:lang w:val="fr-FR" w:eastAsia="zh-CN"/>
        </w:rPr>
        <w:t>Annexe</w:t>
      </w:r>
      <w:r w:rsidR="005911DA">
        <w:rPr>
          <w:rFonts w:ascii="Times New Roman" w:eastAsia="Times New Roman" w:hAnsi="Times New Roman" w:cs="Times New Roman"/>
          <w:color w:val="00000A"/>
          <w:kern w:val="1"/>
          <w:sz w:val="24"/>
          <w:szCs w:val="24"/>
          <w:lang w:val="fr-FR" w:eastAsia="zh-CN"/>
        </w:rPr>
        <w:t xml:space="preserve"> </w:t>
      </w:r>
      <w:r w:rsidR="00CA73F2">
        <w:rPr>
          <w:rFonts w:ascii="Times New Roman" w:eastAsia="Times New Roman" w:hAnsi="Times New Roman" w:cs="Times New Roman"/>
          <w:color w:val="00000A"/>
          <w:kern w:val="1"/>
          <w:sz w:val="24"/>
          <w:szCs w:val="24"/>
          <w:lang w:val="fr-FR" w:eastAsia="zh-CN"/>
        </w:rPr>
        <w:t>4</w:t>
      </w:r>
      <w:r w:rsidR="005911DA">
        <w:rPr>
          <w:rFonts w:ascii="Times New Roman" w:eastAsia="Times New Roman" w:hAnsi="Times New Roman" w:cs="Times New Roman"/>
          <w:color w:val="00000A"/>
          <w:kern w:val="1"/>
          <w:sz w:val="24"/>
          <w:szCs w:val="24"/>
          <w:lang w:val="fr-FR" w:eastAsia="zh-CN"/>
        </w:rPr>
        <w:t xml:space="preserve"> : Recueil </w:t>
      </w:r>
      <w:r w:rsidR="00F204A9">
        <w:rPr>
          <w:rFonts w:ascii="Times New Roman" w:eastAsia="Times New Roman" w:hAnsi="Times New Roman" w:cs="Times New Roman"/>
          <w:color w:val="00000A"/>
          <w:kern w:val="1"/>
          <w:sz w:val="24"/>
          <w:szCs w:val="24"/>
          <w:lang w:val="fr-FR" w:eastAsia="zh-CN"/>
        </w:rPr>
        <w:t xml:space="preserve">informel </w:t>
      </w:r>
      <w:r w:rsidR="005911DA">
        <w:rPr>
          <w:rFonts w:ascii="Times New Roman" w:eastAsia="Times New Roman" w:hAnsi="Times New Roman" w:cs="Times New Roman"/>
          <w:color w:val="00000A"/>
          <w:kern w:val="1"/>
          <w:sz w:val="24"/>
          <w:szCs w:val="24"/>
          <w:lang w:val="fr-FR" w:eastAsia="zh-CN"/>
        </w:rPr>
        <w:t>de b</w:t>
      </w:r>
      <w:r w:rsidRPr="00823C5D">
        <w:rPr>
          <w:rFonts w:ascii="Times New Roman" w:eastAsia="Times New Roman" w:hAnsi="Times New Roman" w:cs="Times New Roman"/>
          <w:color w:val="00000A"/>
          <w:kern w:val="1"/>
          <w:sz w:val="24"/>
          <w:szCs w:val="24"/>
          <w:lang w:val="fr-FR" w:eastAsia="zh-CN"/>
        </w:rPr>
        <w:t>onnes pratiques</w:t>
      </w:r>
      <w:r w:rsidR="005911DA">
        <w:rPr>
          <w:rFonts w:ascii="Times New Roman" w:eastAsia="Times New Roman" w:hAnsi="Times New Roman" w:cs="Times New Roman"/>
          <w:color w:val="00000A"/>
          <w:kern w:val="1"/>
          <w:sz w:val="24"/>
          <w:szCs w:val="24"/>
          <w:lang w:val="fr-FR" w:eastAsia="zh-CN"/>
        </w:rPr>
        <w:t xml:space="preserve"> </w:t>
      </w:r>
      <w:r w:rsidR="00F204A9">
        <w:rPr>
          <w:rFonts w:ascii="Times New Roman" w:eastAsia="Times New Roman" w:hAnsi="Times New Roman" w:cs="Times New Roman"/>
          <w:color w:val="00000A"/>
          <w:kern w:val="1"/>
          <w:sz w:val="24"/>
          <w:szCs w:val="24"/>
          <w:lang w:val="fr-FR" w:eastAsia="zh-CN"/>
        </w:rPr>
        <w:t xml:space="preserve">partagées </w:t>
      </w:r>
      <w:r w:rsidR="005911DA">
        <w:rPr>
          <w:rFonts w:ascii="Times New Roman" w:eastAsia="Times New Roman" w:hAnsi="Times New Roman" w:cs="Times New Roman"/>
          <w:color w:val="00000A"/>
          <w:kern w:val="1"/>
          <w:sz w:val="24"/>
          <w:szCs w:val="24"/>
          <w:lang w:val="fr-FR" w:eastAsia="zh-CN"/>
        </w:rPr>
        <w:t xml:space="preserve">par le service général de l’inspection, </w:t>
      </w:r>
      <w:r w:rsidR="00F204A9">
        <w:rPr>
          <w:rFonts w:ascii="Times New Roman" w:eastAsia="Times New Roman" w:hAnsi="Times New Roman" w:cs="Times New Roman"/>
          <w:color w:val="00000A"/>
          <w:kern w:val="1"/>
          <w:sz w:val="24"/>
          <w:szCs w:val="24"/>
          <w:lang w:val="fr-FR" w:eastAsia="zh-CN"/>
        </w:rPr>
        <w:t xml:space="preserve">le </w:t>
      </w:r>
      <w:r w:rsidR="005911DA">
        <w:rPr>
          <w:rFonts w:ascii="Times New Roman" w:eastAsia="Times New Roman" w:hAnsi="Times New Roman" w:cs="Times New Roman"/>
          <w:color w:val="00000A"/>
          <w:kern w:val="1"/>
          <w:sz w:val="24"/>
          <w:szCs w:val="24"/>
          <w:lang w:val="fr-FR" w:eastAsia="zh-CN"/>
        </w:rPr>
        <w:t>GT VA du CG, le Forum VAE de l’ARES et autres contributions d’établissements, notamment.</w:t>
      </w:r>
    </w:p>
    <w:p w14:paraId="66045E1C" w14:textId="153B22DD" w:rsidR="00823C5D" w:rsidRPr="00F204A9" w:rsidRDefault="00823C5D" w:rsidP="005911DA">
      <w:pPr>
        <w:jc w:val="both"/>
        <w:rPr>
          <w:rFonts w:ascii="Times New Roman" w:eastAsia="Times New Roman" w:hAnsi="Times New Roman" w:cs="Times New Roman"/>
          <w:color w:val="00000A"/>
          <w:kern w:val="1"/>
          <w:sz w:val="24"/>
          <w:szCs w:val="24"/>
          <w:lang w:val="fr-FR" w:eastAsia="zh-CN"/>
        </w:rPr>
      </w:pPr>
    </w:p>
    <w:p w14:paraId="18B53A4D" w14:textId="2BEA54AB" w:rsidR="005911DA" w:rsidRPr="004756B2" w:rsidRDefault="005911DA" w:rsidP="005911DA">
      <w:pPr>
        <w:jc w:val="both"/>
        <w:rPr>
          <w:rFonts w:ascii="Times New Roman" w:eastAsia="Times New Roman" w:hAnsi="Times New Roman" w:cs="Times New Roman"/>
          <w:color w:val="FF0000"/>
          <w:kern w:val="1"/>
          <w:sz w:val="24"/>
          <w:szCs w:val="24"/>
          <w:lang w:val="fr-FR" w:eastAsia="zh-CN"/>
        </w:rPr>
      </w:pPr>
      <w:r w:rsidRPr="00F204A9">
        <w:rPr>
          <w:rFonts w:ascii="Times New Roman" w:eastAsia="Times New Roman" w:hAnsi="Times New Roman" w:cs="Times New Roman"/>
          <w:color w:val="00000A"/>
          <w:kern w:val="1"/>
          <w:sz w:val="24"/>
          <w:szCs w:val="24"/>
          <w:lang w:val="fr-FR" w:eastAsia="zh-CN"/>
        </w:rPr>
        <w:t>Cette liste, non-exhaustive, reprend quelques</w:t>
      </w:r>
      <w:r w:rsidR="00F204A9">
        <w:rPr>
          <w:rFonts w:ascii="Times New Roman" w:eastAsia="Times New Roman" w:hAnsi="Times New Roman" w:cs="Times New Roman"/>
          <w:color w:val="00000A"/>
          <w:kern w:val="1"/>
          <w:sz w:val="24"/>
          <w:szCs w:val="24"/>
          <w:lang w:val="fr-FR" w:eastAsia="zh-CN"/>
        </w:rPr>
        <w:t xml:space="preserve"> </w:t>
      </w:r>
      <w:r w:rsidR="004756B2">
        <w:rPr>
          <w:rFonts w:ascii="Times New Roman" w:eastAsia="Times New Roman" w:hAnsi="Times New Roman" w:cs="Times New Roman"/>
          <w:color w:val="00000A"/>
          <w:kern w:val="1"/>
          <w:sz w:val="24"/>
          <w:szCs w:val="24"/>
          <w:lang w:val="fr-FR" w:eastAsia="zh-CN"/>
        </w:rPr>
        <w:t>conseils</w:t>
      </w:r>
      <w:r w:rsidRPr="00F204A9">
        <w:rPr>
          <w:rFonts w:ascii="Times New Roman" w:eastAsia="Times New Roman" w:hAnsi="Times New Roman" w:cs="Times New Roman"/>
          <w:color w:val="00000A"/>
          <w:kern w:val="1"/>
          <w:sz w:val="24"/>
          <w:szCs w:val="24"/>
          <w:lang w:val="fr-FR" w:eastAsia="zh-CN"/>
        </w:rPr>
        <w:t xml:space="preserve"> pour permettre un meilleur accueil des candidats à la VA</w:t>
      </w:r>
      <w:r w:rsidR="00F204A9">
        <w:rPr>
          <w:rFonts w:ascii="Times New Roman" w:eastAsia="Times New Roman" w:hAnsi="Times New Roman" w:cs="Times New Roman"/>
          <w:color w:val="00000A"/>
          <w:kern w:val="1"/>
          <w:sz w:val="24"/>
          <w:szCs w:val="24"/>
          <w:lang w:val="fr-FR" w:eastAsia="zh-CN"/>
        </w:rPr>
        <w:t>, un gain de temps pour les établissements</w:t>
      </w:r>
      <w:r w:rsidRPr="00F204A9">
        <w:rPr>
          <w:rFonts w:ascii="Times New Roman" w:eastAsia="Times New Roman" w:hAnsi="Times New Roman" w:cs="Times New Roman"/>
          <w:color w:val="00000A"/>
          <w:kern w:val="1"/>
          <w:sz w:val="24"/>
          <w:szCs w:val="24"/>
          <w:lang w:val="fr-FR" w:eastAsia="zh-CN"/>
        </w:rPr>
        <w:t xml:space="preserve"> et la </w:t>
      </w:r>
      <w:r w:rsidR="00F204A9">
        <w:rPr>
          <w:rFonts w:ascii="Times New Roman" w:eastAsia="Times New Roman" w:hAnsi="Times New Roman" w:cs="Times New Roman"/>
          <w:color w:val="00000A"/>
          <w:kern w:val="1"/>
          <w:sz w:val="24"/>
          <w:szCs w:val="24"/>
          <w:lang w:val="fr-FR" w:eastAsia="zh-CN"/>
        </w:rPr>
        <w:t>promotion de l’Enseignement pour adultes et de son fameux article 8</w:t>
      </w:r>
      <w:r w:rsidRPr="00F204A9">
        <w:rPr>
          <w:rFonts w:ascii="Times New Roman" w:eastAsia="Times New Roman" w:hAnsi="Times New Roman" w:cs="Times New Roman"/>
          <w:color w:val="00000A"/>
          <w:kern w:val="1"/>
          <w:sz w:val="24"/>
          <w:szCs w:val="24"/>
          <w:lang w:val="fr-FR" w:eastAsia="zh-CN"/>
        </w:rPr>
        <w:t xml:space="preserve">. </w:t>
      </w:r>
    </w:p>
    <w:p w14:paraId="5B60C67C" w14:textId="34775D30" w:rsidR="005911DA" w:rsidRPr="00F204A9" w:rsidRDefault="005911DA" w:rsidP="005911DA">
      <w:pPr>
        <w:jc w:val="both"/>
        <w:rPr>
          <w:rFonts w:ascii="Times New Roman" w:eastAsia="Times New Roman" w:hAnsi="Times New Roman" w:cs="Times New Roman"/>
          <w:color w:val="00000A"/>
          <w:kern w:val="1"/>
          <w:sz w:val="24"/>
          <w:szCs w:val="24"/>
          <w:lang w:val="fr-FR" w:eastAsia="zh-CN"/>
        </w:rPr>
      </w:pPr>
      <w:r w:rsidRPr="00F204A9">
        <w:rPr>
          <w:rFonts w:ascii="Times New Roman" w:eastAsia="Times New Roman" w:hAnsi="Times New Roman" w:cs="Times New Roman"/>
          <w:color w:val="00000A"/>
          <w:kern w:val="1"/>
          <w:sz w:val="24"/>
          <w:szCs w:val="24"/>
          <w:lang w:val="fr-FR" w:eastAsia="zh-CN"/>
        </w:rPr>
        <w:t xml:space="preserve">Ainsi, </w:t>
      </w:r>
      <w:r w:rsidR="00F204A9">
        <w:rPr>
          <w:rFonts w:ascii="Times New Roman" w:eastAsia="Times New Roman" w:hAnsi="Times New Roman" w:cs="Times New Roman"/>
          <w:color w:val="00000A"/>
          <w:kern w:val="1"/>
          <w:sz w:val="24"/>
          <w:szCs w:val="24"/>
          <w:lang w:val="fr-FR" w:eastAsia="zh-CN"/>
        </w:rPr>
        <w:t>o</w:t>
      </w:r>
      <w:r w:rsidRPr="00F204A9">
        <w:rPr>
          <w:rFonts w:ascii="Times New Roman" w:eastAsia="Times New Roman" w:hAnsi="Times New Roman" w:cs="Times New Roman"/>
          <w:color w:val="00000A"/>
          <w:kern w:val="1"/>
          <w:sz w:val="24"/>
          <w:szCs w:val="24"/>
          <w:lang w:val="fr-FR" w:eastAsia="zh-CN"/>
        </w:rPr>
        <w:t>utre les détails pratiques repris dans la circulaire, il nous parait important de vous conseiller :</w:t>
      </w:r>
    </w:p>
    <w:p w14:paraId="495D3CC6" w14:textId="27DC991B" w:rsidR="00823C5D" w:rsidRDefault="00823C5D" w:rsidP="00823C5D">
      <w:pPr>
        <w:pStyle w:val="Paragraphedeliste"/>
        <w:numPr>
          <w:ilvl w:val="0"/>
          <w:numId w:val="1"/>
        </w:numPr>
        <w:ind w:left="426" w:hanging="426"/>
        <w:jc w:val="both"/>
      </w:pPr>
      <w:r>
        <w:t xml:space="preserve">d’organiser </w:t>
      </w:r>
      <w:r w:rsidRPr="00652970">
        <w:t>des séances d’information sur la VA</w:t>
      </w:r>
      <w:r w:rsidRPr="00F204A9">
        <w:t xml:space="preserve"> claires</w:t>
      </w:r>
      <w:r w:rsidR="00720BBE">
        <w:t>,</w:t>
      </w:r>
      <w:r w:rsidRPr="00F204A9">
        <w:t xml:space="preserve"> </w:t>
      </w:r>
      <w:r w:rsidR="00720BBE" w:rsidRPr="00F204A9">
        <w:t>inclusi</w:t>
      </w:r>
      <w:r w:rsidR="00720BBE">
        <w:t>ves</w:t>
      </w:r>
      <w:r w:rsidR="00720BBE" w:rsidRPr="00F204A9">
        <w:t xml:space="preserve"> par rapport à toutes les capacités et les différences</w:t>
      </w:r>
      <w:r w:rsidR="00193E40">
        <w:t>,</w:t>
      </w:r>
      <w:r w:rsidR="00720BBE" w:rsidRPr="00F204A9">
        <w:t xml:space="preserve"> </w:t>
      </w:r>
      <w:r w:rsidRPr="00F204A9">
        <w:t>et facilement compréhensibles</w:t>
      </w:r>
      <w:r w:rsidR="00193E40">
        <w:t>,</w:t>
      </w:r>
      <w:r w:rsidRPr="00F204A9">
        <w:t xml:space="preserve"> centrées sur l’apprenant(e) adulte</w:t>
      </w:r>
    </w:p>
    <w:p w14:paraId="0CCDF089" w14:textId="77777777" w:rsidR="00F204A9" w:rsidRDefault="00F204A9" w:rsidP="00F204A9">
      <w:pPr>
        <w:pStyle w:val="Paragraphedeliste"/>
        <w:ind w:left="426"/>
        <w:jc w:val="both"/>
      </w:pPr>
    </w:p>
    <w:p w14:paraId="47C8CD6E" w14:textId="721423A7" w:rsidR="002116C6" w:rsidRDefault="00823C5D" w:rsidP="002116C6">
      <w:pPr>
        <w:pStyle w:val="Paragraphedeliste"/>
        <w:numPr>
          <w:ilvl w:val="0"/>
          <w:numId w:val="1"/>
        </w:numPr>
        <w:jc w:val="both"/>
      </w:pPr>
      <w:r>
        <w:t>d’expliquer la manière de lire nos dossiers pédagogiques et comment compléter un dossier de demande en fonction de ceux-ci</w:t>
      </w:r>
      <w:r w:rsidR="002116C6">
        <w:t>.</w:t>
      </w:r>
      <w:r w:rsidR="002116C6" w:rsidRPr="002116C6">
        <w:t xml:space="preserve"> Un étudiant qui comprend ce qu’on attend de lui en préparant minutieusement son dossier peut mettre ses compétences clés en avant et ainsi booster ses chances d’obtenir un raccourcissement de ses études tout en faisant gagner à l’établissement un temps précieux d’analyse de dossier. S’agissant de l’enseignement supérieur, une auto-évaluation de son dossier peut déjà être proposé par l’étudiant. Le degré de réflexivité par rapport à la matière traitée peut déjà être un bon indicateur pour le Conseil des études</w:t>
      </w:r>
    </w:p>
    <w:p w14:paraId="0C2E08AD" w14:textId="77777777" w:rsidR="00F204A9" w:rsidRPr="00652970" w:rsidRDefault="00F204A9" w:rsidP="002116C6">
      <w:pPr>
        <w:pStyle w:val="Paragraphedeliste"/>
        <w:ind w:left="426"/>
        <w:jc w:val="both"/>
      </w:pPr>
    </w:p>
    <w:p w14:paraId="7B709488" w14:textId="0E0A839B" w:rsidR="00823C5D" w:rsidRDefault="00823C5D" w:rsidP="00823C5D">
      <w:pPr>
        <w:pStyle w:val="Paragraphedeliste"/>
        <w:numPr>
          <w:ilvl w:val="0"/>
          <w:numId w:val="1"/>
        </w:numPr>
        <w:ind w:left="426" w:hanging="426"/>
        <w:jc w:val="both"/>
      </w:pPr>
      <w:r>
        <w:t xml:space="preserve">de rédiger </w:t>
      </w:r>
      <w:r w:rsidRPr="00652970">
        <w:t xml:space="preserve">une procédure </w:t>
      </w:r>
      <w:r>
        <w:t xml:space="preserve">de dépôt </w:t>
      </w:r>
      <w:r w:rsidRPr="00652970">
        <w:t xml:space="preserve">des demandes </w:t>
      </w:r>
      <w:r>
        <w:t xml:space="preserve">via </w:t>
      </w:r>
      <w:r w:rsidRPr="00652970">
        <w:t xml:space="preserve">un document type à compléter par l’étudiant </w:t>
      </w:r>
      <w:r>
        <w:t xml:space="preserve">(exemples en annexes 4 à 7) </w:t>
      </w:r>
    </w:p>
    <w:p w14:paraId="375550AE" w14:textId="77777777" w:rsidR="00F204A9" w:rsidRPr="00652970" w:rsidRDefault="00F204A9" w:rsidP="00F204A9">
      <w:pPr>
        <w:pStyle w:val="Paragraphedeliste"/>
        <w:ind w:left="426"/>
        <w:jc w:val="both"/>
      </w:pPr>
    </w:p>
    <w:p w14:paraId="28FF1354" w14:textId="524D80E9" w:rsidR="00823C5D" w:rsidRDefault="00823C5D" w:rsidP="00823C5D">
      <w:pPr>
        <w:pStyle w:val="Paragraphedeliste"/>
        <w:numPr>
          <w:ilvl w:val="0"/>
          <w:numId w:val="1"/>
        </w:numPr>
        <w:ind w:left="426" w:hanging="426"/>
        <w:jc w:val="both"/>
      </w:pPr>
      <w:r>
        <w:t xml:space="preserve">de prévoir </w:t>
      </w:r>
      <w:r w:rsidRPr="00652970">
        <w:t xml:space="preserve">des entretiens individuels avec un conseiller à la formation, un expert pédagogique et technique, un éducateur, un enseignant, référent </w:t>
      </w:r>
      <w:r w:rsidR="006930CC" w:rsidRPr="00652970">
        <w:t>section, …</w:t>
      </w:r>
      <w:r>
        <w:t xml:space="preserve"> pour aider à compléter la demande, à mettre en avant les diverses expériences et à se préparer à d’éventuels tests</w:t>
      </w:r>
      <w:r w:rsidR="004F20CF">
        <w:t xml:space="preserve">. Cet accompagnement est </w:t>
      </w:r>
      <w:r>
        <w:t xml:space="preserve">obligatoire pour une valorisation avec </w:t>
      </w:r>
      <w:r w:rsidR="004F20CF">
        <w:t>5 années d’</w:t>
      </w:r>
      <w:r>
        <w:t>expérience dans l’enseignement supérieur</w:t>
      </w:r>
    </w:p>
    <w:p w14:paraId="1C601C20" w14:textId="77777777" w:rsidR="004F20CF" w:rsidRDefault="004F20CF" w:rsidP="004F20CF">
      <w:pPr>
        <w:pStyle w:val="Paragraphedeliste"/>
        <w:ind w:left="426"/>
        <w:jc w:val="both"/>
      </w:pPr>
    </w:p>
    <w:p w14:paraId="0F3F0520" w14:textId="64D3F870" w:rsidR="002116C6" w:rsidRDefault="00823C5D" w:rsidP="002116C6">
      <w:pPr>
        <w:pStyle w:val="Paragraphedeliste"/>
        <w:numPr>
          <w:ilvl w:val="0"/>
          <w:numId w:val="1"/>
        </w:numPr>
        <w:ind w:left="426" w:hanging="426"/>
        <w:jc w:val="both"/>
      </w:pPr>
      <w:r>
        <w:t xml:space="preserve">de mettre sur pied </w:t>
      </w:r>
      <w:r w:rsidRPr="00652970">
        <w:t>une procédure d’analyse</w:t>
      </w:r>
      <w:r>
        <w:t xml:space="preserve"> des demandes transparente et équitable pour tous</w:t>
      </w:r>
      <w:r w:rsidR="002116C6">
        <w:t>.</w:t>
      </w:r>
    </w:p>
    <w:p w14:paraId="32EEE037" w14:textId="77777777" w:rsidR="002116C6" w:rsidRPr="00652970" w:rsidRDefault="002116C6" w:rsidP="002116C6">
      <w:pPr>
        <w:pStyle w:val="Paragraphedeliste"/>
        <w:ind w:left="426"/>
        <w:jc w:val="both"/>
      </w:pPr>
    </w:p>
    <w:p w14:paraId="653732E8" w14:textId="3E09FA0D" w:rsidR="00823C5D" w:rsidRDefault="00823C5D" w:rsidP="00823C5D">
      <w:pPr>
        <w:pStyle w:val="Paragraphedeliste"/>
        <w:numPr>
          <w:ilvl w:val="0"/>
          <w:numId w:val="1"/>
        </w:numPr>
        <w:suppressAutoHyphens w:val="0"/>
        <w:autoSpaceDE w:val="0"/>
        <w:autoSpaceDN w:val="0"/>
        <w:adjustRightInd w:val="0"/>
        <w:ind w:left="426" w:hanging="426"/>
        <w:jc w:val="both"/>
      </w:pPr>
      <w:r>
        <w:t xml:space="preserve">d’annoncer </w:t>
      </w:r>
      <w:r w:rsidRPr="00652970">
        <w:t>un débriefing individualisé des résultats</w:t>
      </w:r>
      <w:r>
        <w:t xml:space="preserve"> tout particulièrement en cas de refus pour prévoir d’éventuelles </w:t>
      </w:r>
      <w:r w:rsidRPr="00652970">
        <w:t>(re)mise</w:t>
      </w:r>
      <w:r>
        <w:t>s</w:t>
      </w:r>
      <w:r w:rsidRPr="00652970">
        <w:t xml:space="preserve"> à niveau</w:t>
      </w:r>
      <w:r w:rsidR="002116C6">
        <w:t>, remédiations</w:t>
      </w:r>
      <w:r w:rsidRPr="00652970">
        <w:t xml:space="preserve"> </w:t>
      </w:r>
      <w:r>
        <w:t>ou réorientations</w:t>
      </w:r>
      <w:r w:rsidR="002116C6" w:rsidRPr="002116C6">
        <w:t xml:space="preserve"> </w:t>
      </w:r>
      <w:r w:rsidR="002116C6">
        <w:t>qui</w:t>
      </w:r>
      <w:r w:rsidR="002116C6" w:rsidRPr="00097894">
        <w:t xml:space="preserve"> pourrai</w:t>
      </w:r>
      <w:r w:rsidR="002116C6">
        <w:t>en</w:t>
      </w:r>
      <w:r w:rsidR="002116C6" w:rsidRPr="00097894">
        <w:t>t être proposée</w:t>
      </w:r>
      <w:r w:rsidR="002116C6">
        <w:t>s</w:t>
      </w:r>
      <w:r w:rsidR="002116C6" w:rsidRPr="00097894">
        <w:t xml:space="preserve"> dans le cadre du plan d’accompagnement des étudiants mis en œuvre dans l’établissement.</w:t>
      </w:r>
    </w:p>
    <w:p w14:paraId="072ED374" w14:textId="7FB451E5" w:rsidR="002116C6" w:rsidRDefault="002116C6" w:rsidP="002116C6">
      <w:pPr>
        <w:pStyle w:val="Paragraphedeliste"/>
        <w:suppressAutoHyphens w:val="0"/>
        <w:autoSpaceDE w:val="0"/>
        <w:autoSpaceDN w:val="0"/>
        <w:adjustRightInd w:val="0"/>
        <w:ind w:left="426"/>
        <w:jc w:val="both"/>
      </w:pPr>
    </w:p>
    <w:p w14:paraId="3B650632" w14:textId="349CF36B" w:rsidR="002116C6" w:rsidRDefault="002116C6" w:rsidP="00CA73F2">
      <w:pPr>
        <w:pStyle w:val="Paragraphedeliste"/>
        <w:numPr>
          <w:ilvl w:val="0"/>
          <w:numId w:val="1"/>
        </w:numPr>
        <w:ind w:right="12"/>
        <w:jc w:val="both"/>
      </w:pPr>
      <w:r>
        <w:t>de penser au pourcentage</w:t>
      </w:r>
      <w:r w:rsidR="00E10DCE">
        <w:t>,</w:t>
      </w:r>
      <w:r>
        <w:t xml:space="preserve"> qui devra obligatoirement être indiqué sur les attestations de réussite valorisation.</w:t>
      </w:r>
      <w:r w:rsidR="003268F0" w:rsidRPr="002116C6">
        <w:t xml:space="preserve"> </w:t>
      </w:r>
      <w:r w:rsidR="004F20CF" w:rsidRPr="002116C6">
        <w:t>Les points renseignés peuvent avoir une grande importance pour les UE déterminantes. Afin de ne pas décourager les étudiants de demander une VA si les points attribués sont de 50% en cas de dispense complète, il est conseillé de tenir compte du degré de maitrise</w:t>
      </w:r>
      <w:r w:rsidR="003268F0" w:rsidRPr="002116C6">
        <w:t xml:space="preserve"> </w:t>
      </w:r>
      <w:r w:rsidR="004F20CF" w:rsidRPr="002116C6">
        <w:t>ou, par exemple, de calculer la moyenne pondérée des autres notes de telles UE.</w:t>
      </w:r>
      <w:r w:rsidR="003268F0" w:rsidRPr="002116C6">
        <w:t xml:space="preserve"> </w:t>
      </w:r>
      <w:r w:rsidR="003268F0" w:rsidRPr="00097894">
        <w:t xml:space="preserve">Le ROI de l’établissement approuvé par l’étudiant </w:t>
      </w:r>
      <w:r>
        <w:t>doit faire</w:t>
      </w:r>
      <w:r w:rsidR="003268F0" w:rsidRPr="00097894">
        <w:t xml:space="preserve"> mention du mode d’attribution des points qui seront indiqués sur l’attestation de réussite. Dans le cas où un test ou une épreuve est demandé, il est suggéré de reprendre les points du test</w:t>
      </w:r>
      <w:r w:rsidR="003268F0">
        <w:t xml:space="preserve"> ou de l'épreuve</w:t>
      </w:r>
      <w:r w:rsidR="003268F0" w:rsidRPr="00097894">
        <w:t xml:space="preserve">. </w:t>
      </w:r>
    </w:p>
    <w:sectPr w:rsidR="002116C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480F8" w14:textId="77777777" w:rsidR="008D5CC0" w:rsidRDefault="008D5CC0" w:rsidP="005911DA">
      <w:pPr>
        <w:spacing w:after="0" w:line="240" w:lineRule="auto"/>
      </w:pPr>
      <w:r>
        <w:separator/>
      </w:r>
    </w:p>
  </w:endnote>
  <w:endnote w:type="continuationSeparator" w:id="0">
    <w:p w14:paraId="0D9D4F2B" w14:textId="77777777" w:rsidR="008D5CC0" w:rsidRDefault="008D5CC0" w:rsidP="00591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BF6BD" w14:textId="77777777" w:rsidR="008D5CC0" w:rsidRDefault="008D5CC0" w:rsidP="005911DA">
      <w:pPr>
        <w:spacing w:after="0" w:line="240" w:lineRule="auto"/>
      </w:pPr>
      <w:r>
        <w:separator/>
      </w:r>
    </w:p>
  </w:footnote>
  <w:footnote w:type="continuationSeparator" w:id="0">
    <w:p w14:paraId="3B74D342" w14:textId="77777777" w:rsidR="008D5CC0" w:rsidRDefault="008D5CC0" w:rsidP="005911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51DE5"/>
    <w:multiLevelType w:val="hybridMultilevel"/>
    <w:tmpl w:val="22381A1A"/>
    <w:lvl w:ilvl="0" w:tplc="080C0001">
      <w:start w:val="1"/>
      <w:numFmt w:val="bullet"/>
      <w:lvlText w:val=""/>
      <w:lvlJc w:val="left"/>
      <w:pPr>
        <w:ind w:left="360" w:hanging="360"/>
      </w:pPr>
      <w:rPr>
        <w:rFonts w:ascii="Symbol" w:hAnsi="Symbol"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 w15:restartNumberingAfterBreak="0">
    <w:nsid w:val="5163028D"/>
    <w:multiLevelType w:val="hybridMultilevel"/>
    <w:tmpl w:val="29FAB806"/>
    <w:lvl w:ilvl="0" w:tplc="080C000D">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78502254">
    <w:abstractNumId w:val="0"/>
  </w:num>
  <w:num w:numId="2" w16cid:durableId="17849608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3C5D"/>
    <w:rsid w:val="00120920"/>
    <w:rsid w:val="00193E40"/>
    <w:rsid w:val="002116C6"/>
    <w:rsid w:val="002523E9"/>
    <w:rsid w:val="003268F0"/>
    <w:rsid w:val="00382E0F"/>
    <w:rsid w:val="004756B2"/>
    <w:rsid w:val="004850FA"/>
    <w:rsid w:val="004852E4"/>
    <w:rsid w:val="004D6943"/>
    <w:rsid w:val="004F20CF"/>
    <w:rsid w:val="0057757C"/>
    <w:rsid w:val="005911DA"/>
    <w:rsid w:val="005D6826"/>
    <w:rsid w:val="006930CC"/>
    <w:rsid w:val="006F483F"/>
    <w:rsid w:val="00720BBE"/>
    <w:rsid w:val="00823C5D"/>
    <w:rsid w:val="008D5CC0"/>
    <w:rsid w:val="00AD7AF7"/>
    <w:rsid w:val="00CA73F2"/>
    <w:rsid w:val="00E10DCE"/>
    <w:rsid w:val="00F204A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86EE8"/>
  <w15:chartTrackingRefBased/>
  <w15:docId w15:val="{3F3E6C4D-413B-4FAB-9A5F-62A12B2CA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Paragraphe + puce,Lettre d'introduction,tiret2"/>
    <w:basedOn w:val="Normal"/>
    <w:link w:val="ParagraphedelisteCar"/>
    <w:uiPriority w:val="34"/>
    <w:qFormat/>
    <w:rsid w:val="00823C5D"/>
    <w:pPr>
      <w:suppressAutoHyphens/>
      <w:spacing w:after="0" w:line="240" w:lineRule="auto"/>
      <w:ind w:left="720"/>
      <w:contextualSpacing/>
    </w:pPr>
    <w:rPr>
      <w:rFonts w:ascii="Times New Roman" w:eastAsia="Times New Roman" w:hAnsi="Times New Roman" w:cs="Times New Roman"/>
      <w:color w:val="00000A"/>
      <w:kern w:val="1"/>
      <w:sz w:val="24"/>
      <w:szCs w:val="24"/>
      <w:lang w:val="fr-FR" w:eastAsia="zh-CN"/>
    </w:rPr>
  </w:style>
  <w:style w:type="character" w:customStyle="1" w:styleId="ParagraphedelisteCar">
    <w:name w:val="Paragraphe de liste Car"/>
    <w:aliases w:val="Paragraphe + puce Car,Lettre d'introduction Car,tiret2 Car"/>
    <w:basedOn w:val="Policepardfaut"/>
    <w:link w:val="Paragraphedeliste"/>
    <w:uiPriority w:val="34"/>
    <w:locked/>
    <w:rsid w:val="00823C5D"/>
    <w:rPr>
      <w:rFonts w:ascii="Times New Roman" w:eastAsia="Times New Roman" w:hAnsi="Times New Roman" w:cs="Times New Roman"/>
      <w:color w:val="00000A"/>
      <w:kern w:val="1"/>
      <w:sz w:val="24"/>
      <w:szCs w:val="24"/>
      <w:lang w:val="fr-FR" w:eastAsia="zh-CN"/>
    </w:rPr>
  </w:style>
  <w:style w:type="character" w:styleId="Marquedecommentaire">
    <w:name w:val="annotation reference"/>
    <w:basedOn w:val="Policepardfaut"/>
    <w:uiPriority w:val="99"/>
    <w:semiHidden/>
    <w:unhideWhenUsed/>
    <w:rsid w:val="00823C5D"/>
    <w:rPr>
      <w:sz w:val="16"/>
      <w:szCs w:val="16"/>
    </w:rPr>
  </w:style>
  <w:style w:type="paragraph" w:styleId="Commentaire">
    <w:name w:val="annotation text"/>
    <w:basedOn w:val="Normal"/>
    <w:link w:val="CommentaireCar"/>
    <w:uiPriority w:val="99"/>
    <w:unhideWhenUsed/>
    <w:rsid w:val="00823C5D"/>
    <w:pPr>
      <w:suppressAutoHyphens/>
      <w:spacing w:after="0" w:line="240" w:lineRule="auto"/>
    </w:pPr>
    <w:rPr>
      <w:rFonts w:ascii="Times New Roman" w:eastAsia="Times New Roman" w:hAnsi="Times New Roman" w:cs="Times New Roman"/>
      <w:color w:val="00000A"/>
      <w:kern w:val="1"/>
      <w:sz w:val="20"/>
      <w:szCs w:val="20"/>
      <w:lang w:val="fr-FR" w:eastAsia="zh-CN"/>
    </w:rPr>
  </w:style>
  <w:style w:type="character" w:customStyle="1" w:styleId="CommentaireCar">
    <w:name w:val="Commentaire Car"/>
    <w:basedOn w:val="Policepardfaut"/>
    <w:link w:val="Commentaire"/>
    <w:uiPriority w:val="99"/>
    <w:rsid w:val="00823C5D"/>
    <w:rPr>
      <w:rFonts w:ascii="Times New Roman" w:eastAsia="Times New Roman" w:hAnsi="Times New Roman" w:cs="Times New Roman"/>
      <w:color w:val="00000A"/>
      <w:kern w:val="1"/>
      <w:sz w:val="20"/>
      <w:szCs w:val="20"/>
      <w:lang w:val="fr-FR" w:eastAsia="zh-CN"/>
    </w:rPr>
  </w:style>
  <w:style w:type="paragraph" w:styleId="Notedebasdepage">
    <w:name w:val="footnote text"/>
    <w:basedOn w:val="Normal"/>
    <w:link w:val="NotedebasdepageCar"/>
    <w:uiPriority w:val="99"/>
    <w:semiHidden/>
    <w:unhideWhenUsed/>
    <w:rsid w:val="005911DA"/>
    <w:pPr>
      <w:suppressAutoHyphens/>
      <w:spacing w:after="0" w:line="240" w:lineRule="auto"/>
    </w:pPr>
    <w:rPr>
      <w:rFonts w:ascii="Times New Roman" w:eastAsia="Times New Roman" w:hAnsi="Times New Roman" w:cs="Times New Roman"/>
      <w:color w:val="00000A"/>
      <w:kern w:val="1"/>
      <w:sz w:val="20"/>
      <w:szCs w:val="20"/>
      <w:lang w:val="fr-FR" w:eastAsia="zh-CN"/>
    </w:rPr>
  </w:style>
  <w:style w:type="character" w:customStyle="1" w:styleId="NotedebasdepageCar">
    <w:name w:val="Note de bas de page Car"/>
    <w:basedOn w:val="Policepardfaut"/>
    <w:link w:val="Notedebasdepage"/>
    <w:uiPriority w:val="99"/>
    <w:semiHidden/>
    <w:rsid w:val="005911DA"/>
    <w:rPr>
      <w:rFonts w:ascii="Times New Roman" w:eastAsia="Times New Roman" w:hAnsi="Times New Roman" w:cs="Times New Roman"/>
      <w:color w:val="00000A"/>
      <w:kern w:val="1"/>
      <w:sz w:val="20"/>
      <w:szCs w:val="20"/>
      <w:lang w:val="fr-FR" w:eastAsia="zh-CN"/>
    </w:rPr>
  </w:style>
  <w:style w:type="character" w:styleId="Appelnotedebasdep">
    <w:name w:val="footnote reference"/>
    <w:basedOn w:val="Policepardfaut"/>
    <w:uiPriority w:val="99"/>
    <w:semiHidden/>
    <w:unhideWhenUsed/>
    <w:rsid w:val="005911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458</Words>
  <Characters>2521</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
    </vt:vector>
  </TitlesOfParts>
  <Company>FWB</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FONTAINE Valérie</dc:creator>
  <cp:keywords/>
  <dc:description/>
  <cp:lastModifiedBy>FONTAINE Valérie</cp:lastModifiedBy>
  <cp:revision>3</cp:revision>
  <dcterms:created xsi:type="dcterms:W3CDTF">2025-01-30T13:27:00Z</dcterms:created>
  <dcterms:modified xsi:type="dcterms:W3CDTF">2025-01-30T13:28:00Z</dcterms:modified>
</cp:coreProperties>
</file>